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1"/>
        </w:numPr>
        <w:jc w:val="left"/>
      </w:pPr>
      <w:bookmarkStart w:id="0" w:name="_GoBack"/>
      <w:bookmarkStart w:id="1" w:name="_GoBack"/>
      <w:bookmarkEnd w:id="1"/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line="276" w:lineRule="auto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cs="Segoe UI" w:hAnsi="Segoe UI"/>
          <w:b/>
          <w:sz w:val="32"/>
          <w:szCs w:val="32"/>
          <w:lang w:eastAsia="en-US"/>
        </w:rPr>
        <w:t xml:space="preserve"> 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  <w:lang w:eastAsia="en-US"/>
        </w:rPr>
        <w:t>ПРЕСС-РЕЛИЗ</w:t>
      </w:r>
    </w:p>
    <w:p>
      <w:pPr>
        <w:pStyle w:val="style0"/>
        <w:spacing w:after="16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  <w:lang w:eastAsia="en-US"/>
        </w:rPr>
        <w:t>14 июля 2021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540" w:left="0" w:right="0"/>
        <w:jc w:val="center"/>
      </w:pPr>
      <w:r>
        <w:rPr>
          <w:rFonts w:ascii="Segoe UI" w:cs="Segoe UI" w:hAnsi="Segoe UI"/>
          <w:b/>
          <w:sz w:val="28"/>
          <w:szCs w:val="28"/>
        </w:rPr>
        <w:t>Новые кадры на профессиональном рынке арбитражных управляющих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rFonts w:ascii="Segoe UI" w:cs="Segoe UI" w:hAnsi="Segoe UI"/>
          <w:sz w:val="24"/>
          <w:szCs w:val="24"/>
        </w:rPr>
        <w:t>Совсем недавно на базе автономной некоммерческой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cs="Segoe UI" w:hAnsi="Segoe UI"/>
          <w:i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По мнению членов экзаменационной комиссии, в их числе несколько человек могут стать яркими звездами профессии. 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8192" w:linePitch="360" w:type="default"/>
        </w:sectPr>
        <w:pStyle w:val="style0"/>
        <w:spacing w:line="360" w:lineRule="auto"/>
        <w:ind w:firstLine="540" w:left="0" w:right="0"/>
        <w:jc w:val="both"/>
      </w:pPr>
      <w:r>
        <w:rPr>
          <w:sz w:val="26"/>
          <w:szCs w:val="26"/>
        </w:rPr>
        <w:t xml:space="preserve">- </w:t>
      </w:r>
      <w:r>
        <w:rPr>
          <w:rFonts w:ascii="Segoe UI" w:cs="Segoe UI" w:hAnsi="Segoe UI"/>
          <w:i/>
          <w:color w:val="000000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cs="Segoe UI" w:hAnsi="Segoe UI"/>
          <w:color w:val="000000"/>
          <w:sz w:val="24"/>
          <w:szCs w:val="24"/>
        </w:rPr>
        <w:t xml:space="preserve">, - рассказала председатель экзаменационной комиссии, заместитель руководителя Управления Росреестра по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</w:rPr>
        <w:t>Ольга Суздальцева</w:t>
      </w:r>
      <w:r>
        <w:rPr>
          <w:rFonts w:ascii="Segoe UI" w:cs="Segoe UI" w:hAnsi="Segoe UI"/>
          <w:color w:val="000000"/>
          <w:sz w:val="24"/>
          <w:szCs w:val="24"/>
        </w:rPr>
        <w:t xml:space="preserve">. 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hd w:fill="FFFFFF" w:val="clear"/>
        <w:spacing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  <w:lang w:eastAsia="en-US"/>
        </w:rPr>
        <w:t>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</w:pPr>
      <w:r>
        <w:rPr>
          <w:rFonts w:ascii="Segoe UI" w:cs="Segoe UI" w:hAnsi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  <w:lang w:eastAsia="en-US"/>
        </w:rPr>
        <w:t xml:space="preserve">, </w:t>
      </w:r>
    </w:p>
    <w:p>
      <w:pPr>
        <w:pStyle w:val="style0"/>
      </w:pPr>
      <w:r>
        <w:rPr>
          <w:rFonts w:ascii="Segoe UI" w:cs="Segoe UI" w:hAnsi="Segoe UI"/>
          <w:sz w:val="24"/>
          <w:szCs w:val="24"/>
          <w:lang w:eastAsia="en-US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  <w:lang w:eastAsia="en-US"/>
        </w:rPr>
        <w:t>8 (927) 690-73-51</w:t>
      </w:r>
      <w:r>
        <w:rPr>
          <w:rFonts w:ascii="Segoe UI" w:cs="Segoe UI" w:hAnsi="Segoe UI"/>
          <w:sz w:val="24"/>
          <w:szCs w:val="24"/>
          <w:lang w:eastAsia="en-US"/>
        </w:rPr>
        <w:br/>
        <w:t xml:space="preserve">Электронная почта: </w:t>
      </w:r>
      <w:hyperlink r:id="rId3">
        <w:r>
          <w:rPr>
            <w:rStyle w:val="style18"/>
            <w:rFonts w:ascii="Segoe UI" w:cs="Segoe UI" w:hAnsi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>
      <w:pPr>
        <w:pStyle w:val="style0"/>
      </w:pPr>
      <w:r>
        <w:rPr>
          <w:rFonts w:ascii="Segoe UI" w:cs="Segoe UI" w:hAnsi="Segoe UI"/>
          <w:sz w:val="24"/>
          <w:szCs w:val="24"/>
          <w:lang w:eastAsia="en-US"/>
        </w:rPr>
        <w:t>Сайт: https://rosreestr.gov.ru/site/</w:t>
      </w:r>
    </w:p>
    <w:p>
      <w:pPr>
        <w:pStyle w:val="style0"/>
      </w:pPr>
      <w:r>
        <w:rPr>
          <w:rFonts w:ascii="Segoe UI" w:cs="Segoe UI" w:hAnsi="Segoe UI"/>
          <w:sz w:val="24"/>
          <w:szCs w:val="24"/>
          <w:lang w:eastAsia="en-US"/>
        </w:rPr>
        <w:t xml:space="preserve">Личная страница в Instagram: </w:t>
      </w:r>
      <w:hyperlink r:id="rId4">
        <w:r>
          <w:rPr>
            <w:rStyle w:val="style18"/>
            <w:rFonts w:ascii="Segoe UI" w:cs="Segoe UI" w:hAnsi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4" w:type="paragraph">
    <w:name w:val="Заголовок 4"/>
    <w:basedOn w:val="style0"/>
    <w:next w:val="style20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Arial" w:cs="Times New Roman" w:eastAsia="Times New Roman" w:hAnsi="Arial"/>
      <w:b/>
      <w:sz w:val="24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Segoe UI" w:cs="Segoe UI" w:eastAsia="Times New Roman" w:hAnsi="Segoe UI"/>
      <w:sz w:val="18"/>
      <w:szCs w:val="18"/>
      <w:lang w:eastAsia="ru-RU"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2021-07-15T04:36:00.00Z</dcterms:created>
  <dc:creator>Никитина Ольга Александровна</dc:creator>
  <cp:lastModifiedBy>Говорова Елена Геннадиевна</cp:lastModifiedBy>
  <cp:lastPrinted>2021-07-14T08:20:00.00Z</cp:lastPrinted>
  <dcterms:modified xsi:type="dcterms:W3CDTF">2021-07-15T04:36:00.00Z</dcterms:modified>
  <cp:revision>2</cp:revision>
</cp:coreProperties>
</file>